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97 Tuesday 19</w:t>
      </w:r>
      <w:r>
        <w:rPr>
          <w:b/>
          <w:bCs/>
          <w:sz w:val="22"/>
          <w:szCs w:val="22"/>
          <w:vertAlign w:val="superscript"/>
        </w:rPr>
        <w:t>th</w:t>
      </w:r>
      <w:r>
        <w:rPr>
          <w:b/>
          <w:bCs/>
          <w:sz w:val="22"/>
          <w:szCs w:val="22"/>
        </w:rPr>
        <w:t xml:space="preserve"> September 2023</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p>
      <w:pPr>
        <w:pStyle w:val="Normal"/>
        <w:jc w:val="left"/>
        <w:rPr>
          <w:b/>
          <w:bCs/>
          <w:sz w:val="22"/>
          <w:szCs w:val="22"/>
        </w:rPr>
      </w:pPr>
      <w:r>
        <w:rPr>
          <w:b/>
          <w:bCs/>
          <w:sz w:val="22"/>
          <w:szCs w:val="22"/>
        </w:rPr>
        <w:t>Parent Members:</w:t>
        <w:tab/>
        <w:tab/>
        <w:t>Pupil Representatives:</w:t>
        <w:tab/>
        <w:tab/>
        <w:t>PTA Fund Comm:</w:t>
        <w:tab/>
        <w:t>In Attendance:</w:t>
      </w:r>
    </w:p>
    <w:p>
      <w:pPr>
        <w:pStyle w:val="Normal"/>
        <w:jc w:val="left"/>
        <w:rPr>
          <w:b w:val="false"/>
          <w:bCs w:val="false"/>
          <w:i w:val="false"/>
          <w:iCs w:val="false"/>
          <w:sz w:val="22"/>
          <w:szCs w:val="22"/>
        </w:rPr>
      </w:pPr>
      <w:r>
        <w:rPr>
          <w:b w:val="false"/>
          <w:bCs w:val="false"/>
          <w:i w:val="false"/>
          <w:iCs w:val="false"/>
          <w:sz w:val="22"/>
          <w:szCs w:val="22"/>
        </w:rPr>
        <w:t>Mrs B McKenna</w:t>
        <w:tab/>
        <w:tab/>
        <w:t>Misha Yatsiuta (HB)</w:t>
        <w:tab/>
        <w:tab/>
        <w:t>Mr G Mackay</w:t>
        <w:tab/>
        <w:tab/>
        <w:t>Mrs Flavell (HT)</w:t>
      </w:r>
    </w:p>
    <w:p>
      <w:pPr>
        <w:pStyle w:val="Normal"/>
        <w:jc w:val="left"/>
        <w:rPr>
          <w:b w:val="false"/>
          <w:bCs w:val="false"/>
          <w:i w:val="false"/>
          <w:iCs w:val="false"/>
          <w:sz w:val="22"/>
          <w:szCs w:val="22"/>
        </w:rPr>
      </w:pPr>
      <w:r>
        <w:rPr>
          <w:b w:val="false"/>
          <w:bCs w:val="false"/>
          <w:i w:val="false"/>
          <w:iCs w:val="false"/>
          <w:sz w:val="22"/>
          <w:szCs w:val="22"/>
        </w:rPr>
        <w:t>Mr D Hymers-Mackintosh</w:t>
        <w:tab/>
        <w:t>Kirsty Henderson (HG)</w:t>
        <w:tab/>
        <w:tab/>
        <w:t>Mr J Robinson</w:t>
        <w:tab/>
        <w:tab/>
        <w:t>Mrs Miller (DHT)</w:t>
      </w:r>
    </w:p>
    <w:p>
      <w:pPr>
        <w:pStyle w:val="Normal"/>
        <w:jc w:val="left"/>
        <w:rPr>
          <w:b/>
          <w:bCs/>
          <w:i w:val="false"/>
          <w:iCs w:val="false"/>
          <w:sz w:val="22"/>
          <w:szCs w:val="22"/>
        </w:rPr>
      </w:pPr>
      <w:r>
        <w:rPr>
          <w:b w:val="false"/>
          <w:bCs w:val="false"/>
          <w:i w:val="false"/>
          <w:iCs w:val="false"/>
          <w:sz w:val="22"/>
          <w:szCs w:val="22"/>
        </w:rPr>
        <w:t>Ms J A Leslie</w:t>
        <w:tab/>
        <w:tab/>
        <w:tab/>
      </w:r>
      <w:r>
        <w:rPr>
          <w:b/>
          <w:bCs/>
          <w:i w:val="false"/>
          <w:iCs w:val="false"/>
          <w:sz w:val="22"/>
          <w:szCs w:val="22"/>
        </w:rPr>
        <w:t>Teacher Member:</w:t>
        <w:tab/>
        <w:tab/>
        <w:t>DYW Co-ordinator:</w:t>
        <w:tab/>
        <w:t>Councillors:</w:t>
        <w:tab/>
        <w:tab/>
      </w:r>
    </w:p>
    <w:p>
      <w:pPr>
        <w:pStyle w:val="Normal"/>
        <w:jc w:val="left"/>
        <w:rPr>
          <w:b w:val="false"/>
          <w:bCs w:val="false"/>
          <w:i w:val="false"/>
          <w:iCs w:val="false"/>
          <w:sz w:val="22"/>
          <w:szCs w:val="22"/>
        </w:rPr>
      </w:pPr>
      <w:r>
        <w:rPr>
          <w:b w:val="false"/>
          <w:bCs w:val="false"/>
          <w:i w:val="false"/>
          <w:iCs w:val="false"/>
          <w:sz w:val="22"/>
          <w:szCs w:val="22"/>
        </w:rPr>
        <w:t>Ms D Wood</w:t>
        <w:tab/>
        <w:tab/>
        <w:tab/>
        <w:t>Mrs S Struthers</w:t>
        <w:tab/>
        <w:tab/>
        <w:tab/>
        <w:t>Mr P Kerr</w:t>
      </w:r>
    </w:p>
    <w:p>
      <w:pPr>
        <w:pStyle w:val="Normal"/>
        <w:jc w:val="left"/>
        <w:rPr>
          <w:b w:val="false"/>
          <w:bCs w:val="false"/>
          <w:i w:val="false"/>
          <w:iCs w:val="false"/>
          <w:sz w:val="22"/>
          <w:szCs w:val="22"/>
        </w:rPr>
      </w:pPr>
      <w:r>
        <w:rPr>
          <w:b w:val="false"/>
          <w:bCs w:val="false"/>
          <w:i w:val="false"/>
          <w:iCs w:val="false"/>
          <w:sz w:val="22"/>
          <w:szCs w:val="22"/>
        </w:rPr>
        <w:t>Mrs D Pottinger</w:t>
      </w:r>
    </w:p>
    <w:p>
      <w:pPr>
        <w:pStyle w:val="Normal"/>
        <w:jc w:val="left"/>
        <w:rPr>
          <w:b w:val="false"/>
          <w:bCs w:val="false"/>
          <w:i w:val="false"/>
          <w:iCs w:val="false"/>
          <w:sz w:val="22"/>
          <w:szCs w:val="22"/>
        </w:rPr>
      </w:pPr>
      <w:r>
        <w:rPr>
          <w:b w:val="false"/>
          <w:bCs w:val="false"/>
          <w:i w:val="false"/>
          <w:iCs w:val="false"/>
          <w:sz w:val="22"/>
          <w:szCs w:val="22"/>
        </w:rPr>
        <w:t>Ms Z McIntosh</w:t>
      </w:r>
    </w:p>
    <w:p>
      <w:pPr>
        <w:pStyle w:val="Normal"/>
        <w:jc w:val="left"/>
        <w:rPr>
          <w:b w:val="false"/>
          <w:bCs w:val="false"/>
          <w:i w:val="false"/>
          <w:iCs w:val="false"/>
          <w:sz w:val="22"/>
          <w:szCs w:val="22"/>
        </w:rPr>
      </w:pPr>
      <w:r>
        <w:rPr>
          <w:b w:val="false"/>
          <w:bCs w:val="false"/>
          <w:i w:val="false"/>
          <w:iCs w:val="false"/>
          <w:sz w:val="22"/>
          <w:szCs w:val="22"/>
        </w:rPr>
        <w:t>Ms L Manson</w:t>
        <w:tab/>
        <w:tab/>
      </w:r>
    </w:p>
    <w:p>
      <w:pPr>
        <w:pStyle w:val="Normal"/>
        <w:jc w:val="left"/>
        <w:rPr>
          <w:b w:val="false"/>
          <w:bCs w:val="false"/>
          <w:i w:val="false"/>
          <w:iCs w:val="false"/>
          <w:sz w:val="22"/>
          <w:szCs w:val="22"/>
        </w:rPr>
      </w:pPr>
      <w:r>
        <w:rPr>
          <w:b w:val="false"/>
          <w:bCs w:val="false"/>
          <w:i w:val="false"/>
          <w:iCs w:val="false"/>
          <w:sz w:val="22"/>
          <w:szCs w:val="22"/>
        </w:rPr>
        <w:tab/>
        <w:tab/>
        <w:tab/>
        <w:tab/>
      </w:r>
    </w:p>
    <w:p>
      <w:pPr>
        <w:pStyle w:val="Normal"/>
        <w:jc w:val="left"/>
        <w:rPr>
          <w:b w:val="false"/>
          <w:bCs w:val="false"/>
          <w:sz w:val="22"/>
          <w:szCs w:val="22"/>
        </w:rPr>
      </w:pPr>
      <w:r>
        <w:rPr>
          <w:b/>
          <w:bCs/>
          <w:sz w:val="22"/>
          <w:szCs w:val="22"/>
        </w:rPr>
        <w:t xml:space="preserve">1. Chairperson's Opening Remarks:   </w:t>
      </w:r>
      <w:r>
        <w:rPr>
          <w:b w:val="false"/>
          <w:bCs w:val="false"/>
          <w:sz w:val="22"/>
          <w:szCs w:val="22"/>
        </w:rPr>
        <w:t>Mrs McKenna welcomed everyone present to the 97</w:t>
      </w:r>
      <w:r>
        <w:rPr>
          <w:b w:val="false"/>
          <w:bCs w:val="false"/>
          <w:sz w:val="22"/>
          <w:szCs w:val="22"/>
          <w:vertAlign w:val="superscript"/>
        </w:rPr>
        <w:t>th</w:t>
      </w:r>
      <w:r>
        <w:rPr>
          <w:b w:val="false"/>
          <w:bCs w:val="false"/>
          <w:sz w:val="22"/>
          <w:szCs w:val="22"/>
        </w:rPr>
        <w:t xml:space="preserve"> meeting, introducing new members Ms Manson and PTA Chair Mr Mackay.</w:t>
      </w:r>
    </w:p>
    <w:p>
      <w:pPr>
        <w:pStyle w:val="Normal"/>
        <w:jc w:val="left"/>
        <w:rPr/>
      </w:pPr>
      <w:r>
        <w:rPr/>
      </w:r>
    </w:p>
    <w:p>
      <w:pPr>
        <w:pStyle w:val="Normal"/>
        <w:tabs>
          <w:tab w:val="left" w:pos="228" w:leader="none"/>
        </w:tabs>
        <w:jc w:val="left"/>
        <w:rPr>
          <w:b w:val="false"/>
          <w:bCs w:val="false"/>
          <w:sz w:val="22"/>
          <w:szCs w:val="22"/>
        </w:rPr>
      </w:pPr>
      <w:r>
        <w:rPr>
          <w:b/>
          <w:bCs/>
          <w:sz w:val="22"/>
          <w:szCs w:val="22"/>
        </w:rPr>
        <w:t xml:space="preserve">2. Apologies:  </w:t>
      </w:r>
      <w:r>
        <w:rPr>
          <w:b w:val="false"/>
          <w:bCs w:val="false"/>
          <w:sz w:val="22"/>
          <w:szCs w:val="22"/>
        </w:rPr>
        <w:t>Mr J Lynch and Councillors Reiss, Mackie and Gunn</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3. Approval of 96th Meeting Minutes:  </w:t>
      </w:r>
      <w:r>
        <w:rPr>
          <w:b w:val="false"/>
          <w:bCs w:val="false"/>
          <w:sz w:val="22"/>
          <w:szCs w:val="22"/>
        </w:rPr>
        <w:t>Minutes adopted and approved by Mrs Pottinger &amp; Ms Wood</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4.</w:t>
        <w:tab/>
        <w:t>Correspondence Received: none</w:t>
      </w:r>
    </w:p>
    <w:p>
      <w:pPr>
        <w:pStyle w:val="Normal"/>
        <w:tabs>
          <w:tab w:val="left" w:pos="228" w:leader="none"/>
        </w:tabs>
        <w:jc w:val="left"/>
        <w:rPr>
          <w:b/>
          <w:bCs/>
          <w:sz w:val="22"/>
          <w:szCs w:val="22"/>
        </w:rPr>
      </w:pPr>
      <w:r>
        <w:rPr>
          <w:b/>
          <w:bCs/>
          <w:sz w:val="22"/>
          <w:szCs w:val="22"/>
        </w:rPr>
        <w:tab/>
        <w:t>Correspondence Sent:  none</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ab/>
        <w:tab/>
        <w:tab/>
        <w:tab/>
        <w:t>Faculty Presentation Science Department – Mrs Struthers</w:t>
      </w:r>
    </w:p>
    <w:p>
      <w:pPr>
        <w:pStyle w:val="Normal"/>
        <w:tabs>
          <w:tab w:val="left" w:pos="228" w:leader="none"/>
        </w:tabs>
        <w:jc w:val="left"/>
        <w:rPr/>
      </w:pPr>
      <w:r>
        <w:rPr/>
      </w:r>
    </w:p>
    <w:p>
      <w:pPr>
        <w:pStyle w:val="Normal"/>
        <w:tabs>
          <w:tab w:val="left" w:pos="228" w:leader="none"/>
        </w:tabs>
        <w:jc w:val="left"/>
        <w:rPr>
          <w:b/>
          <w:bCs/>
          <w:i/>
          <w:iCs/>
          <w:sz w:val="22"/>
          <w:szCs w:val="22"/>
        </w:rPr>
      </w:pPr>
      <w:r>
        <w:rPr>
          <w:b/>
          <w:bCs/>
          <w:sz w:val="22"/>
          <w:szCs w:val="22"/>
        </w:rPr>
        <w:t>5.</w:t>
        <w:tab/>
        <w:t xml:space="preserve">Pupil Representatives' Report:  </w:t>
      </w:r>
      <w:r>
        <w:rPr>
          <w:b/>
          <w:bCs/>
          <w:i/>
          <w:iCs/>
          <w:sz w:val="22"/>
          <w:szCs w:val="22"/>
        </w:rPr>
        <w:t xml:space="preserve">Please see Attachment 1  </w:t>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b w:val="false"/>
          <w:bCs w:val="false"/>
          <w:i w:val="false"/>
          <w:iCs w:val="false"/>
          <w:sz w:val="22"/>
          <w:szCs w:val="22"/>
        </w:rPr>
      </w:pPr>
      <w:r>
        <w:rPr>
          <w:b/>
          <w:bCs/>
          <w:i w:val="false"/>
          <w:iCs w:val="false"/>
          <w:sz w:val="22"/>
          <w:szCs w:val="22"/>
        </w:rPr>
        <w:t>6.</w:t>
        <w:tab/>
        <w:t xml:space="preserve">Head Teacher Report:   </w:t>
      </w:r>
      <w:r>
        <w:rPr>
          <w:b w:val="false"/>
          <w:bCs w:val="false"/>
          <w:i w:val="false"/>
          <w:iCs w:val="false"/>
          <w:sz w:val="22"/>
          <w:szCs w:val="22"/>
        </w:rPr>
        <w:t xml:space="preserve">Mrs Flavell addressed Parent Council advising that the </w:t>
      </w:r>
      <w:r>
        <w:rPr>
          <w:b/>
          <w:bCs/>
          <w:i w:val="false"/>
          <w:iCs w:val="false"/>
          <w:sz w:val="22"/>
          <w:szCs w:val="22"/>
        </w:rPr>
        <w:t>school roll</w:t>
      </w:r>
      <w:r>
        <w:rPr>
          <w:b w:val="false"/>
          <w:bCs w:val="false"/>
          <w:i w:val="false"/>
          <w:iCs w:val="false"/>
          <w:sz w:val="22"/>
          <w:szCs w:val="22"/>
        </w:rPr>
        <w:t xml:space="preserve"> stands at 754.</w:t>
      </w:r>
    </w:p>
    <w:p>
      <w:pPr>
        <w:pStyle w:val="Normal"/>
        <w:tabs>
          <w:tab w:val="left" w:pos="228" w:leader="none"/>
        </w:tabs>
        <w:jc w:val="left"/>
        <w:rPr>
          <w:b w:val="false"/>
          <w:bCs w:val="false"/>
          <w:i w:val="false"/>
          <w:iCs w:val="false"/>
          <w:sz w:val="22"/>
          <w:szCs w:val="22"/>
        </w:rPr>
      </w:pPr>
      <w:r>
        <w:rPr>
          <w:b/>
          <w:bCs/>
          <w:i w:val="false"/>
          <w:iCs w:val="false"/>
          <w:sz w:val="22"/>
          <w:szCs w:val="22"/>
        </w:rPr>
        <w:t>School Building issues:</w:t>
      </w:r>
      <w:r>
        <w:rPr>
          <w:b w:val="false"/>
          <w:bCs w:val="false"/>
          <w:i w:val="false"/>
          <w:iCs w:val="false"/>
          <w:sz w:val="22"/>
          <w:szCs w:val="22"/>
        </w:rPr>
        <w:t xml:space="preserve"> Highland Council communications over the issue with the heating oil tank have already been shared with parents.   This renders the Games Hall block out of action for the moment so pupils will be doing PE in the Assembly Hall if the weather is not good and changing in the room next door, to which Mrs Flavell expressed thanks to the Prefect Team who have had to relinquish their room to allow for this.   It is hoped that entry back into the Games Hall will be possible within a couple of weeks, though, obviously, pupil and staff safety comes first.   Consequently, progress with the new Modular classrooms may be delayed slightly but arrangements put in place will continue for a little longer and should not impact on pupil learning in any way.   Renovations to the back of the Music Block should go ahead which will mean that music classes are also displaced for a period of 6 – 8 weeks.   Mrs Flavell wished to express her thanks to all pupils and staff who have just reorganised and got on with the business of teaching and learning with no complaints about more challenging circumstances at times.</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Staffing:  </w:t>
      </w:r>
      <w:r>
        <w:rPr>
          <w:b w:val="false"/>
          <w:bCs w:val="false"/>
          <w:i w:val="false"/>
          <w:iCs w:val="false"/>
          <w:sz w:val="22"/>
          <w:szCs w:val="22"/>
        </w:rPr>
        <w:t>New staff members in PE, Drama, ASN and English are all setting in well with excellent Faculty support and the probationers have mentors, with all being extremely complimentary on the support the school is giving and on the pupils and their behaviour.</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University Trip:  </w:t>
      </w:r>
      <w:r>
        <w:rPr>
          <w:b w:val="false"/>
          <w:bCs w:val="false"/>
          <w:i w:val="false"/>
          <w:iCs w:val="false"/>
          <w:sz w:val="22"/>
          <w:szCs w:val="22"/>
        </w:rPr>
        <w:t>The annual trip took place from 28</w:t>
      </w:r>
      <w:r>
        <w:rPr>
          <w:b w:val="false"/>
          <w:bCs w:val="false"/>
          <w:i w:val="false"/>
          <w:iCs w:val="false"/>
          <w:sz w:val="22"/>
          <w:szCs w:val="22"/>
          <w:vertAlign w:val="superscript"/>
        </w:rPr>
        <w:t>th</w:t>
      </w:r>
      <w:r>
        <w:rPr>
          <w:b w:val="false"/>
          <w:bCs w:val="false"/>
          <w:i w:val="false"/>
          <w:iCs w:val="false"/>
          <w:sz w:val="22"/>
          <w:szCs w:val="22"/>
        </w:rPr>
        <w:t xml:space="preserve"> – 31</w:t>
      </w:r>
      <w:r>
        <w:rPr>
          <w:b w:val="false"/>
          <w:bCs w:val="false"/>
          <w:i w:val="false"/>
          <w:iCs w:val="false"/>
          <w:sz w:val="22"/>
          <w:szCs w:val="22"/>
          <w:vertAlign w:val="superscript"/>
        </w:rPr>
        <w:t>st</w:t>
      </w:r>
      <w:r>
        <w:rPr>
          <w:b w:val="false"/>
          <w:bCs w:val="false"/>
          <w:i w:val="false"/>
          <w:iCs w:val="false"/>
          <w:sz w:val="22"/>
          <w:szCs w:val="22"/>
        </w:rPr>
        <w:t xml:space="preserve"> August with 38 pupils visiting 13 Universities including Stirling, Edinburgh, Napier, Queen Margaret's, Heriot Watt, Dundee, Aberdeen &amp; Robert Gordons.  Mrs Flavell wished to thank all pupils who maintained excellent standards throughout and to the 5 staff members for their time, expertise and patience.   The school is also grateful for funding received from Baillie Windfarm Community Fund, Bad a Cheo and Stroupster Windfarm Community Fund (Foundation Scotland) whose kind donations helped fund the bus and reduce the cost of the trip for pupils.</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Parent Information Evenings:   </w:t>
      </w:r>
      <w:r>
        <w:rPr>
          <w:b w:val="false"/>
          <w:bCs w:val="false"/>
          <w:i w:val="false"/>
          <w:iCs w:val="false"/>
          <w:sz w:val="22"/>
          <w:szCs w:val="22"/>
        </w:rPr>
        <w:t xml:space="preserve">Dates for diaries </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Wed 4</w:t>
      </w:r>
      <w:r>
        <w:rPr>
          <w:b w:val="false"/>
          <w:bCs w:val="false"/>
          <w:i w:val="false"/>
          <w:iCs w:val="false"/>
          <w:sz w:val="22"/>
          <w:szCs w:val="22"/>
          <w:vertAlign w:val="superscript"/>
        </w:rPr>
        <w:t>th</w:t>
      </w:r>
      <w:r>
        <w:rPr>
          <w:b w:val="false"/>
          <w:bCs w:val="false"/>
          <w:i w:val="false"/>
          <w:iCs w:val="false"/>
          <w:sz w:val="22"/>
          <w:szCs w:val="22"/>
        </w:rPr>
        <w:t xml:space="preserve"> October – S1/2/3 Parents' Information evening '</w:t>
      </w:r>
      <w:r>
        <w:rPr>
          <w:b w:val="false"/>
          <w:bCs w:val="false"/>
          <w:i/>
          <w:iCs/>
          <w:sz w:val="22"/>
          <w:szCs w:val="22"/>
        </w:rPr>
        <w:t>How to support your child to study</w:t>
      </w:r>
      <w:r>
        <w:rPr>
          <w:b w:val="false"/>
          <w:bCs w:val="false"/>
          <w:i w:val="false"/>
          <w:iCs w:val="false"/>
          <w:sz w:val="22"/>
          <w:szCs w:val="22"/>
        </w:rPr>
        <w: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Thurs 2</w:t>
      </w:r>
      <w:r>
        <w:rPr>
          <w:b w:val="false"/>
          <w:bCs w:val="false"/>
          <w:i w:val="false"/>
          <w:iCs w:val="false"/>
          <w:sz w:val="22"/>
          <w:szCs w:val="22"/>
          <w:vertAlign w:val="superscript"/>
        </w:rPr>
        <w:t>nd</w:t>
      </w:r>
      <w:r>
        <w:rPr>
          <w:b w:val="false"/>
          <w:bCs w:val="false"/>
          <w:i w:val="false"/>
          <w:iCs w:val="false"/>
          <w:sz w:val="22"/>
          <w:szCs w:val="22"/>
        </w:rPr>
        <w:t xml:space="preserve"> Nov – S1/2 Parents' Information evening – attainment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Thurs 9</w:t>
      </w:r>
      <w:r>
        <w:rPr>
          <w:b w:val="false"/>
          <w:bCs w:val="false"/>
          <w:i w:val="false"/>
          <w:iCs w:val="false"/>
          <w:sz w:val="22"/>
          <w:szCs w:val="22"/>
          <w:vertAlign w:val="superscript"/>
        </w:rPr>
        <w:t>th</w:t>
      </w:r>
      <w:r>
        <w:rPr>
          <w:b w:val="false"/>
          <w:bCs w:val="false"/>
          <w:i w:val="false"/>
          <w:iCs w:val="false"/>
          <w:sz w:val="22"/>
          <w:szCs w:val="22"/>
        </w:rPr>
        <w:t xml:space="preserve"> Nov – S3/4/5/6 Parents' Information evening – attainment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t>Wed 22</w:t>
      </w:r>
      <w:r>
        <w:rPr>
          <w:b w:val="false"/>
          <w:bCs w:val="false"/>
          <w:i w:val="false"/>
          <w:iCs w:val="false"/>
          <w:sz w:val="22"/>
          <w:szCs w:val="22"/>
          <w:vertAlign w:val="superscript"/>
        </w:rPr>
        <w:t>nd</w:t>
      </w:r>
      <w:r>
        <w:rPr>
          <w:b w:val="false"/>
          <w:bCs w:val="false"/>
          <w:i w:val="false"/>
          <w:iCs w:val="false"/>
          <w:sz w:val="22"/>
          <w:szCs w:val="22"/>
        </w:rPr>
        <w:t xml:space="preserve"> Nov S4/5/6 Parents' Information evening '</w:t>
      </w:r>
      <w:r>
        <w:rPr>
          <w:b w:val="false"/>
          <w:bCs w:val="false"/>
          <w:i/>
          <w:iCs/>
          <w:sz w:val="22"/>
          <w:szCs w:val="22"/>
        </w:rPr>
        <w:t>How to support your child to study</w:t>
      </w:r>
      <w:r>
        <w:rPr>
          <w:b w:val="false"/>
          <w:bCs w:val="false"/>
          <w:i w:val="false"/>
          <w:iCs w:val="false"/>
          <w:sz w:val="22"/>
          <w:szCs w:val="22"/>
        </w:rPr>
        <w:t>'</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Bus Clinics: </w:t>
      </w:r>
      <w:r>
        <w:rPr>
          <w:b w:val="false"/>
          <w:bCs w:val="false"/>
          <w:i w:val="false"/>
          <w:iCs w:val="false"/>
          <w:sz w:val="22"/>
          <w:szCs w:val="22"/>
        </w:rPr>
        <w:t>Bus clinics will be held shortly for pupils using school transport where Highland Council's Behaviour Code will be outlining transported pupils' responsibilities to be both respectful and travel safely will be emphasised.  Expectations of behaviour on school transport will be emphasised.   With autumn and winter around the corner, this is particularly important for pupils to be aware or.   Bad weather and bus evacuation room procedures will be outlined so pupils are further informed of what happens in a situation where pupils have to be sent home due to adverse weather.</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Dress Code items and Cost of the School Day:  </w:t>
      </w:r>
      <w:r>
        <w:rPr>
          <w:b w:val="false"/>
          <w:bCs w:val="false"/>
          <w:i w:val="false"/>
          <w:iCs w:val="false"/>
          <w:sz w:val="22"/>
          <w:szCs w:val="22"/>
        </w:rPr>
        <w:t>Generally, dress code is excellent and thanks must go to all families who take the time and effort to check that their child's dress code meets the school's expectations.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However the school is aware this can be a financial burden and can offer help in several ways.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Firstly a stock of new items is held and can be loaned out on a daily basis when someone has been caught out by washing or whatever.   Items can also be loaned out for longer periods if someone is waiting for ordered items to arrive for example.   Pupils can just ask their Guidance Teacher or go direct to the Office where staff are happy to help.    If families are finding it difficult to source or finance dress code items, the school can supply pupils with good quality used items to keep by getting in touch with their child's Year Head, Guidance Teacher of the Head Teacher directly is this would make life easier.   New items can also be supplied for a greatly reduced price on a 'pay what you can afford' basis – more details to come.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Tackling the COST OF THE SCHOOL DAY can help to remove financial barriers to learning and participation for families on low incomes.   There has been no curricular costs for pupils for quite a few years but it has been recently audited where there are other costs for children and families – sometimes very small but these can be significant.   When young people cannot take part in opportunities because of cost, they miss out and feel excluded, and it is harder for them to learn, achieve and be happy at school.   A good stock of uniform and PE kit is held at the school to ensure equity and the dress code is deliberately kept as simple and cheap to source as possible.   Basic stationery items is also provided in every classroom.     Any donations for fundraising remains anonymous and the school is also working with Caithness Poverty Action Group.</w:t>
      </w:r>
    </w:p>
    <w:p>
      <w:pPr>
        <w:pStyle w:val="Normal"/>
        <w:tabs>
          <w:tab w:val="left" w:pos="228" w:leader="none"/>
        </w:tabs>
        <w:jc w:val="left"/>
        <w:rPr>
          <w:b w:val="false"/>
          <w:bCs w:val="false"/>
          <w:i/>
          <w:iCs/>
          <w:sz w:val="22"/>
          <w:szCs w:val="22"/>
        </w:rPr>
      </w:pPr>
      <w:r>
        <w:rPr>
          <w:b/>
          <w:bCs/>
          <w:i w:val="false"/>
          <w:iCs w:val="false"/>
          <w:sz w:val="22"/>
          <w:szCs w:val="22"/>
        </w:rPr>
        <w:t>Pupil Equity Fund</w:t>
      </w:r>
      <w:r>
        <w:rPr>
          <w:b w:val="false"/>
          <w:bCs w:val="false"/>
          <w:i w:val="false"/>
          <w:iCs w:val="false"/>
          <w:sz w:val="22"/>
          <w:szCs w:val="22"/>
        </w:rPr>
        <w:t xml:space="preserve"> </w:t>
      </w:r>
      <w:r>
        <w:rPr>
          <w:b/>
          <w:bCs/>
          <w:i w:val="false"/>
          <w:iCs w:val="false"/>
          <w:sz w:val="22"/>
          <w:szCs w:val="22"/>
        </w:rPr>
        <w:t>spending</w:t>
      </w:r>
      <w:r>
        <w:rPr>
          <w:b w:val="false"/>
          <w:bCs w:val="false"/>
          <w:i w:val="false"/>
          <w:iCs w:val="false"/>
          <w:sz w:val="22"/>
          <w:szCs w:val="22"/>
        </w:rPr>
        <w:t xml:space="preserve">:   Mrs Flavell reported to the Parent Council that she had recently spoken at a Highland Council Committee meeting presenting how Thurso High School plans, implements and evaluates impact around Pupil Equity Fund spending.   Currently the school receives £45,815 with an aim to identify the pupils at risk of underachieving through the poverty related attainment gap and to then implement a range of universal and/or targeted literacy, numeracy, wellbeing and curricular interventions in order to support these children to thrive and achieve.   </w:t>
      </w:r>
      <w:r>
        <w:rPr>
          <w:b w:val="false"/>
          <w:bCs w:val="false"/>
          <w:i/>
          <w:iCs/>
          <w:sz w:val="22"/>
          <w:szCs w:val="22"/>
        </w:rPr>
        <w:t>(Presentation for information added as an attachment to the minutes)</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School Emergency Lockdown Plan: </w:t>
      </w:r>
      <w:r>
        <w:rPr>
          <w:b w:val="false"/>
          <w:bCs w:val="false"/>
          <w:i w:val="false"/>
          <w:iCs w:val="false"/>
          <w:sz w:val="22"/>
          <w:szCs w:val="22"/>
        </w:rPr>
        <w:t xml:space="preserve"> This is a plan essentially to deal with any unforeseen circumstance whereby it would be necessary to get inside the school and stay safe;  whether due to an outside event such as a gas leak or nearby fire or an intruder in the school.   Now in place.</w:t>
      </w:r>
    </w:p>
    <w:p>
      <w:pPr>
        <w:pStyle w:val="Normal"/>
        <w:tabs>
          <w:tab w:val="left" w:pos="228" w:leader="none"/>
        </w:tabs>
        <w:jc w:val="left"/>
        <w:rPr>
          <w:b w:val="false"/>
          <w:bCs w:val="false"/>
          <w:i w:val="false"/>
          <w:iCs w:val="false"/>
          <w:sz w:val="22"/>
          <w:szCs w:val="22"/>
        </w:rPr>
      </w:pPr>
      <w:r>
        <w:rPr>
          <w:b/>
          <w:bCs/>
          <w:i w:val="false"/>
          <w:iCs w:val="false"/>
          <w:sz w:val="22"/>
          <w:szCs w:val="22"/>
        </w:rPr>
        <w:t xml:space="preserve">Attendance:  </w:t>
      </w:r>
      <w:r>
        <w:rPr>
          <w:b w:val="false"/>
          <w:bCs w:val="false"/>
          <w:i w:val="false"/>
          <w:iCs w:val="false"/>
          <w:sz w:val="22"/>
          <w:szCs w:val="22"/>
        </w:rPr>
        <w:t>While appreciated that for some pupils, for medical reasons, school attendance can be difficult, the overall drop in pupil attendance is a national concern and one which is definitely a focus for Thurso High School.   Following the exam results this session, an analysis of results compared to attendance levels is as follows:</w:t>
      </w:r>
    </w:p>
    <w:tbl>
      <w:tblPr>
        <w:jc w:val="left"/>
        <w:tblInd w:w="45"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42" w:type="dxa"/>
          <w:bottom w:w="55" w:type="dxa"/>
          <w:right w:w="55" w:type="dxa"/>
        </w:tblCellMar>
      </w:tblPr>
      <w:tblGrid>
        <w:gridCol w:w="1927"/>
        <w:gridCol w:w="1928"/>
        <w:gridCol w:w="1921"/>
        <w:gridCol w:w="1926"/>
        <w:gridCol w:w="1936"/>
      </w:tblGrid>
      <w:tr>
        <w:trPr>
          <w:cantSplit w:val="false"/>
        </w:trPr>
        <w:tc>
          <w:tcPr>
            <w:tcW w:w="1927"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pPr>
            <w:r>
              <w:rPr/>
            </w:r>
          </w:p>
        </w:tc>
        <w:tc>
          <w:tcPr>
            <w:tcW w:w="1928"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4"/>
                <w:szCs w:val="24"/>
              </w:rPr>
            </w:pPr>
            <w:r>
              <w:rPr>
                <w:sz w:val="24"/>
                <w:szCs w:val="24"/>
              </w:rPr>
              <w:t>Nationals</w:t>
            </w:r>
          </w:p>
        </w:tc>
        <w:tc>
          <w:tcPr>
            <w:tcW w:w="192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pPr>
            <w:r>
              <w:rPr/>
              <w:t>Nationals</w:t>
            </w:r>
          </w:p>
        </w:tc>
        <w:tc>
          <w:tcPr>
            <w:tcW w:w="1926"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pPr>
            <w:r>
              <w:rPr/>
              <w:t>Highers</w:t>
            </w:r>
          </w:p>
        </w:tc>
        <w:tc>
          <w:tcPr>
            <w:tcW w:w="1936"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TableContents"/>
              <w:rPr/>
            </w:pPr>
            <w:r>
              <w:rPr/>
              <w:t>Highers</w:t>
            </w:r>
          </w:p>
        </w:tc>
      </w:tr>
      <w:tr>
        <w:trPr>
          <w:cantSplit w:val="false"/>
        </w:trPr>
        <w:tc>
          <w:tcPr>
            <w:tcW w:w="1927"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Attendance %</w:t>
            </w:r>
          </w:p>
        </w:tc>
        <w:tc>
          <w:tcPr>
            <w:tcW w:w="1928"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 pupils achieving target or better</w:t>
            </w:r>
          </w:p>
        </w:tc>
        <w:tc>
          <w:tcPr>
            <w:tcW w:w="1921"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Average grade difference</w:t>
            </w:r>
          </w:p>
        </w:tc>
        <w:tc>
          <w:tcPr>
            <w:tcW w:w="1926"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 pupils achieving target or better</w:t>
            </w:r>
          </w:p>
        </w:tc>
        <w:tc>
          <w:tcPr>
            <w:tcW w:w="1936"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TableContents"/>
              <w:rPr>
                <w:sz w:val="20"/>
                <w:szCs w:val="20"/>
              </w:rPr>
            </w:pPr>
            <w:r>
              <w:rPr>
                <w:sz w:val="20"/>
                <w:szCs w:val="20"/>
              </w:rPr>
              <w:t>Average grade difference</w:t>
            </w:r>
          </w:p>
        </w:tc>
      </w:tr>
      <w:tr>
        <w:trPr>
          <w:cantSplit w:val="false"/>
        </w:trPr>
        <w:tc>
          <w:tcPr>
            <w:tcW w:w="1927"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Above 95%</w:t>
            </w:r>
          </w:p>
        </w:tc>
        <w:tc>
          <w:tcPr>
            <w:tcW w:w="1928"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77%</w:t>
            </w:r>
          </w:p>
        </w:tc>
        <w:tc>
          <w:tcPr>
            <w:tcW w:w="1921"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-0.08</w:t>
            </w:r>
          </w:p>
        </w:tc>
        <w:tc>
          <w:tcPr>
            <w:tcW w:w="1926"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74%</w:t>
            </w:r>
          </w:p>
        </w:tc>
        <w:tc>
          <w:tcPr>
            <w:tcW w:w="1936"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TableContents"/>
              <w:jc w:val="center"/>
              <w:rPr>
                <w:sz w:val="20"/>
                <w:szCs w:val="20"/>
              </w:rPr>
            </w:pPr>
            <w:r>
              <w:rPr>
                <w:sz w:val="20"/>
                <w:szCs w:val="20"/>
              </w:rPr>
              <w:t>-0.11</w:t>
            </w:r>
          </w:p>
        </w:tc>
      </w:tr>
      <w:tr>
        <w:trPr>
          <w:cantSplit w:val="false"/>
        </w:trPr>
        <w:tc>
          <w:tcPr>
            <w:tcW w:w="1927"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Above 90%</w:t>
            </w:r>
          </w:p>
        </w:tc>
        <w:tc>
          <w:tcPr>
            <w:tcW w:w="1928"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74%</w:t>
            </w:r>
          </w:p>
        </w:tc>
        <w:tc>
          <w:tcPr>
            <w:tcW w:w="1921"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-0.12</w:t>
            </w:r>
          </w:p>
        </w:tc>
        <w:tc>
          <w:tcPr>
            <w:tcW w:w="1926"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70%</w:t>
            </w:r>
          </w:p>
        </w:tc>
        <w:tc>
          <w:tcPr>
            <w:tcW w:w="1936"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TableContents"/>
              <w:jc w:val="center"/>
              <w:rPr>
                <w:sz w:val="20"/>
                <w:szCs w:val="20"/>
              </w:rPr>
            </w:pPr>
            <w:r>
              <w:rPr>
                <w:sz w:val="20"/>
                <w:szCs w:val="20"/>
              </w:rPr>
              <w:t>-0.20</w:t>
            </w:r>
          </w:p>
        </w:tc>
      </w:tr>
      <w:tr>
        <w:trPr>
          <w:cantSplit w:val="false"/>
        </w:trPr>
        <w:tc>
          <w:tcPr>
            <w:tcW w:w="1927"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80 – 89%</w:t>
            </w:r>
          </w:p>
        </w:tc>
        <w:tc>
          <w:tcPr>
            <w:tcW w:w="1928"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58%</w:t>
            </w:r>
          </w:p>
        </w:tc>
        <w:tc>
          <w:tcPr>
            <w:tcW w:w="1921"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-0.34</w:t>
            </w:r>
          </w:p>
        </w:tc>
        <w:tc>
          <w:tcPr>
            <w:tcW w:w="1926"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62%</w:t>
            </w:r>
          </w:p>
        </w:tc>
        <w:tc>
          <w:tcPr>
            <w:tcW w:w="1936"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TableContents"/>
              <w:jc w:val="center"/>
              <w:rPr>
                <w:sz w:val="20"/>
                <w:szCs w:val="20"/>
              </w:rPr>
            </w:pPr>
            <w:r>
              <w:rPr>
                <w:sz w:val="20"/>
                <w:szCs w:val="20"/>
              </w:rPr>
              <w:t>-0.31</w:t>
            </w:r>
          </w:p>
        </w:tc>
      </w:tr>
      <w:tr>
        <w:trPr>
          <w:cantSplit w:val="false"/>
        </w:trPr>
        <w:tc>
          <w:tcPr>
            <w:tcW w:w="1927"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70 – 79%</w:t>
            </w:r>
          </w:p>
        </w:tc>
        <w:tc>
          <w:tcPr>
            <w:tcW w:w="1928"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45%</w:t>
            </w:r>
          </w:p>
        </w:tc>
        <w:tc>
          <w:tcPr>
            <w:tcW w:w="1921"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-0.47</w:t>
            </w:r>
          </w:p>
        </w:tc>
        <w:tc>
          <w:tcPr>
            <w:tcW w:w="1926"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53%</w:t>
            </w:r>
          </w:p>
        </w:tc>
        <w:tc>
          <w:tcPr>
            <w:tcW w:w="1936"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TableContents"/>
              <w:jc w:val="center"/>
              <w:rPr>
                <w:sz w:val="20"/>
                <w:szCs w:val="20"/>
              </w:rPr>
            </w:pPr>
            <w:r>
              <w:rPr>
                <w:sz w:val="20"/>
                <w:szCs w:val="20"/>
              </w:rPr>
              <w:t>-0.55</w:t>
            </w:r>
          </w:p>
        </w:tc>
      </w:tr>
      <w:tr>
        <w:trPr>
          <w:cantSplit w:val="false"/>
        </w:trPr>
        <w:tc>
          <w:tcPr>
            <w:tcW w:w="1927"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rPr>
                <w:sz w:val="20"/>
                <w:szCs w:val="20"/>
              </w:rPr>
            </w:pPr>
            <w:r>
              <w:rPr>
                <w:sz w:val="20"/>
                <w:szCs w:val="20"/>
              </w:rPr>
              <w:t>Below 69%</w:t>
            </w:r>
          </w:p>
        </w:tc>
        <w:tc>
          <w:tcPr>
            <w:tcW w:w="1928"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23%</w:t>
            </w:r>
          </w:p>
        </w:tc>
        <w:tc>
          <w:tcPr>
            <w:tcW w:w="1921"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-1.47</w:t>
            </w:r>
          </w:p>
        </w:tc>
        <w:tc>
          <w:tcPr>
            <w:tcW w:w="1926" w:type="dxa"/>
            <w:tcBorders>
              <w:top w:val="nil"/>
              <w:left w:val="single" w:sz="2" w:space="0" w:color="000001"/>
              <w:bottom w:val="single" w:sz="2" w:space="0" w:color="000001"/>
              <w:insideH w:val="single" w:sz="2" w:space="0" w:color="000001"/>
              <w:right w:val="nil"/>
              <w:insideV w:val="nil"/>
            </w:tcBorders>
            <w:shd w:fill="FFFFFF" w:val="clear"/>
            <w:tcMar>
              <w:left w:w="42" w:type="dxa"/>
            </w:tcMar>
          </w:tcPr>
          <w:p>
            <w:pPr>
              <w:pStyle w:val="TableContents"/>
              <w:jc w:val="center"/>
              <w:rPr>
                <w:sz w:val="20"/>
                <w:szCs w:val="20"/>
              </w:rPr>
            </w:pPr>
            <w:r>
              <w:rPr>
                <w:sz w:val="20"/>
                <w:szCs w:val="20"/>
              </w:rPr>
              <w:t>50%</w:t>
            </w:r>
          </w:p>
        </w:tc>
        <w:tc>
          <w:tcPr>
            <w:tcW w:w="1936" w:type="dxa"/>
            <w:tcBorders>
              <w:top w:val="nil"/>
              <w:left w:val="single" w:sz="2" w:space="0" w:color="000001"/>
              <w:bottom w:val="single" w:sz="2" w:space="0" w:color="000001"/>
              <w:insideH w:val="single" w:sz="2" w:space="0" w:color="000001"/>
              <w:right w:val="single" w:sz="2" w:space="0" w:color="000001"/>
              <w:insideV w:val="single" w:sz="2" w:space="0" w:color="000001"/>
            </w:tcBorders>
            <w:shd w:fill="FFFFFF" w:val="clear"/>
            <w:tcMar>
              <w:left w:w="42" w:type="dxa"/>
            </w:tcMar>
          </w:tcPr>
          <w:p>
            <w:pPr>
              <w:pStyle w:val="TableContents"/>
              <w:jc w:val="center"/>
              <w:rPr>
                <w:sz w:val="20"/>
                <w:szCs w:val="20"/>
              </w:rPr>
            </w:pPr>
            <w:r>
              <w:rPr>
                <w:sz w:val="20"/>
                <w:szCs w:val="20"/>
              </w:rPr>
              <w:t>-0.90</w:t>
            </w:r>
          </w:p>
        </w:tc>
      </w:tr>
    </w:tbl>
    <w:p>
      <w:pPr>
        <w:pStyle w:val="Normal"/>
        <w:tabs>
          <w:tab w:val="left" w:pos="228" w:leader="none"/>
        </w:tabs>
        <w:jc w:val="left"/>
        <w:rPr>
          <w:b w:val="false"/>
          <w:bCs w:val="false"/>
          <w:i w:val="false"/>
          <w:iCs w:val="false"/>
          <w:sz w:val="22"/>
          <w:szCs w:val="22"/>
        </w:rPr>
      </w:pPr>
      <w:r>
        <w:rPr>
          <w:b w:val="false"/>
          <w:bCs w:val="false"/>
          <w:i w:val="false"/>
          <w:iCs w:val="false"/>
          <w:sz w:val="22"/>
          <w:szCs w:val="22"/>
        </w:rPr>
        <w:t>Supporting young people to attend school is also important for building routines, respect and resilience for future pathways.   The following resources are available: Soft Start, Attendance Support Officers, Children's Service Worker (CSW) and Youth Development Officer (YDO) or discussion with Guidance Teacher of Year Head.</w:t>
      </w:r>
    </w:p>
    <w:p>
      <w:pPr>
        <w:pStyle w:val="Normal"/>
        <w:tabs>
          <w:tab w:val="left" w:pos="228" w:leader="none"/>
        </w:tabs>
        <w:jc w:val="left"/>
        <w:rPr>
          <w:b/>
          <w:bCs/>
        </w:rPr>
      </w:pPr>
      <w:r>
        <w:rPr>
          <w:b/>
          <w:bCs/>
        </w:rPr>
      </w:r>
    </w:p>
    <w:p>
      <w:pPr>
        <w:pStyle w:val="Normal"/>
        <w:tabs>
          <w:tab w:val="left" w:pos="228" w:leader="none"/>
        </w:tabs>
        <w:jc w:val="left"/>
        <w:rPr>
          <w:b/>
          <w:bCs/>
          <w:i w:val="false"/>
          <w:iCs w:val="false"/>
          <w:sz w:val="22"/>
          <w:szCs w:val="22"/>
        </w:rPr>
      </w:pPr>
      <w:r>
        <w:rPr>
          <w:b/>
          <w:bCs/>
          <w:i w:val="false"/>
          <w:iCs w:val="false"/>
          <w:sz w:val="22"/>
          <w:szCs w:val="22"/>
        </w:rPr>
        <w:t>7. PTA Fundraising Committee Report: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 Graham Mackay addressed Parent Council, firstly introducing himself as the new Chairperson of the  Fundraising Committee appointed at the AGM meeting held on 30</w:t>
      </w:r>
      <w:r>
        <w:rPr>
          <w:b w:val="false"/>
          <w:bCs w:val="false"/>
          <w:i w:val="false"/>
          <w:iCs w:val="false"/>
          <w:sz w:val="22"/>
          <w:szCs w:val="22"/>
          <w:vertAlign w:val="superscript"/>
        </w:rPr>
        <w:t>th</w:t>
      </w:r>
      <w:r>
        <w:rPr>
          <w:b w:val="false"/>
          <w:bCs w:val="false"/>
          <w:i w:val="false"/>
          <w:iCs w:val="false"/>
          <w:sz w:val="22"/>
          <w:szCs w:val="22"/>
        </w:rPr>
        <w:t xml:space="preserve"> August '23.   A total of 7 new parent members were also appointed on the night.   Mr Mackay announced that the current balance of the PTA account stands at £2847.57.   The next meeting of the Committee is scheduled for 3</w:t>
      </w:r>
      <w:r>
        <w:rPr>
          <w:b w:val="false"/>
          <w:bCs w:val="false"/>
          <w:i w:val="false"/>
          <w:iCs w:val="false"/>
          <w:sz w:val="22"/>
          <w:szCs w:val="22"/>
          <w:vertAlign w:val="superscript"/>
        </w:rPr>
        <w:t>rd</w:t>
      </w:r>
      <w:r>
        <w:rPr>
          <w:b w:val="false"/>
          <w:bCs w:val="false"/>
          <w:i w:val="false"/>
          <w:iCs w:val="false"/>
          <w:sz w:val="22"/>
          <w:szCs w:val="22"/>
        </w:rPr>
        <w:t xml:space="preserve"> October '23 with the Quiz Night to be held in the school on Friday 10</w:t>
      </w:r>
      <w:r>
        <w:rPr>
          <w:b w:val="false"/>
          <w:bCs w:val="false"/>
          <w:i w:val="false"/>
          <w:iCs w:val="false"/>
          <w:sz w:val="22"/>
          <w:szCs w:val="22"/>
          <w:vertAlign w:val="superscript"/>
        </w:rPr>
        <w:t>th</w:t>
      </w:r>
      <w:r>
        <w:rPr>
          <w:b w:val="false"/>
          <w:bCs w:val="false"/>
          <w:i w:val="false"/>
          <w:iCs w:val="false"/>
          <w:sz w:val="22"/>
          <w:szCs w:val="22"/>
        </w:rPr>
        <w:t xml:space="preserve"> October '23.   Retiring Chair Mr John Robinson was in attendance at the meeting primarily to give support to Mr Mackay on his first night and also to address a query regarding the Lottery Licence which had not appeared on the PTA Balance Sheet for the year ended 31</w:t>
      </w:r>
      <w:r>
        <w:rPr>
          <w:b w:val="false"/>
          <w:bCs w:val="false"/>
          <w:i w:val="false"/>
          <w:iCs w:val="false"/>
          <w:sz w:val="22"/>
          <w:szCs w:val="22"/>
          <w:vertAlign w:val="superscript"/>
        </w:rPr>
        <w:t>st</w:t>
      </w:r>
      <w:r>
        <w:rPr>
          <w:b w:val="false"/>
          <w:bCs w:val="false"/>
          <w:i w:val="false"/>
          <w:iCs w:val="false"/>
          <w:sz w:val="22"/>
          <w:szCs w:val="22"/>
        </w:rPr>
        <w:t xml:space="preserve"> August '23.   Mr Robinson explained that the account had come in following the resignation of the PTA Treasurer at a time when Covid restrictions were still in place and rather than hang on for further bank signatories, he had paid the Licence from his own personal account and had not reclaimed the amount from the Fundraising Committee.   Acknowledging this would be his last attendance at a Parent Council meeting, Mrs Flavell wished to convey her sincere thanks for the amazing work Mr Robinson had done and the significant funds he had raised for the school and wished him all the best for the future.</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sz w:val="22"/>
          <w:szCs w:val="22"/>
        </w:rPr>
      </w:pPr>
      <w:r>
        <w:rPr>
          <w:b/>
          <w:bCs/>
          <w:i w:val="false"/>
          <w:iCs w:val="false"/>
          <w:sz w:val="22"/>
          <w:szCs w:val="22"/>
        </w:rPr>
        <w:t>8. Developing the Young Workforce Report:</w:t>
      </w:r>
    </w:p>
    <w:p>
      <w:pPr>
        <w:pStyle w:val="Normal"/>
        <w:tabs>
          <w:tab w:val="left" w:pos="228" w:leader="none"/>
        </w:tabs>
        <w:jc w:val="left"/>
        <w:rPr>
          <w:b/>
          <w:bCs/>
          <w:i/>
          <w:iCs/>
          <w:sz w:val="22"/>
          <w:szCs w:val="22"/>
        </w:rPr>
      </w:pPr>
      <w:r>
        <w:rPr>
          <w:b/>
          <w:bCs/>
          <w:i/>
          <w:iCs/>
          <w:sz w:val="22"/>
          <w:szCs w:val="22"/>
        </w:rPr>
        <w:t>Please refer to Mr Paul Kerr's report as Attachment 2</w:t>
      </w:r>
    </w:p>
    <w:p>
      <w:pPr>
        <w:pStyle w:val="Normal"/>
        <w:tabs>
          <w:tab w:val="left" w:pos="228" w:leader="none"/>
        </w:tabs>
        <w:jc w:val="left"/>
        <w:rPr>
          <w:b/>
          <w:bCs/>
        </w:rPr>
      </w:pPr>
      <w:r>
        <w:rPr>
          <w:b/>
          <w:bCs/>
        </w:rPr>
      </w:r>
    </w:p>
    <w:p>
      <w:pPr>
        <w:pStyle w:val="Normal"/>
        <w:tabs>
          <w:tab w:val="left" w:pos="228" w:leader="none"/>
        </w:tabs>
        <w:jc w:val="left"/>
        <w:rPr>
          <w:b/>
          <w:bCs/>
          <w:i w:val="false"/>
          <w:iCs w:val="false"/>
          <w:sz w:val="22"/>
          <w:szCs w:val="22"/>
        </w:rPr>
      </w:pPr>
      <w:r>
        <w:rPr>
          <w:b/>
          <w:bCs/>
          <w:i w:val="false"/>
          <w:iCs w:val="false"/>
          <w:sz w:val="22"/>
          <w:szCs w:val="22"/>
        </w:rPr>
        <w:t>Further DYW Report delivered by Mrs Miller, DHT.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Our school DYW Co-ordinator will be visiting all Personal and Social Education classes to discuss the role of DYW in the school and to advertise opportunities for the pupils in terms of work experience and support for potential future pathways.   Pupils have received advice on how to register for My World of Work and for Senior Phase pupils, the Highland Council work experience website Hi Hope.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In conjuction with these visits, Skills Development Scotland also have PSE talks arranged and have so far visited S1 classes to complete Personality Profiles.   Visits to S4 classes will commence following the October break with a focus on positive interview techniques and skills ahead of mock interviews all pupils will be offered the opportunity to take part in with local employers.   SDS will also hold an assembly for all</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S5 pupils in October on our return to school focused on Labour Market information.   Visits to S2 and S3 classes are arranged for later in the term.</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In addition to input from DYW and SDS, we have visiting speakers from the NHS coming to speak to S3 and S4 cohorts about different employment opportunities available within this sector.   S1 pupils will be offered an Employability Skills workshop led by some of our Senior pupils who will undertake training offered by DYW.   S2 pupils will have a talk from local employers on the theme of 'No Wrong Path', explaining that career choices can evolve or change.</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sz w:val="22"/>
          <w:szCs w:val="22"/>
        </w:rPr>
      </w:pPr>
      <w:r>
        <w:rPr>
          <w:b/>
          <w:bCs/>
          <w:i w:val="false"/>
          <w:iCs w:val="false"/>
          <w:sz w:val="22"/>
          <w:szCs w:val="22"/>
        </w:rPr>
        <w:t>9. Councillor's Report: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All Councillor's were unable to attend tonight's meeting but Cllr's Reiss and Mackie later reported that they had attended a productive meeting regarding the oil leak and had received outline times for each activity asking that this gets pulled together to form a dispersible briefing for interested stakeholders.   Cllr Reiss advised that he is in contact with senior Council officers and SEPA and will be keeping a close eye on developments, aware that it is going to cost the Council extra money but how much is, as yet, uncertain.</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sz w:val="22"/>
          <w:szCs w:val="22"/>
        </w:rPr>
      </w:pPr>
      <w:r>
        <w:rPr>
          <w:b/>
          <w:bCs/>
          <w:i w:val="false"/>
          <w:iCs w:val="false"/>
          <w:sz w:val="22"/>
          <w:szCs w:val="22"/>
        </w:rPr>
        <w:t>10.  Specific Items for discussion:</w:t>
      </w:r>
    </w:p>
    <w:p>
      <w:pPr>
        <w:pStyle w:val="Normal"/>
        <w:tabs>
          <w:tab w:val="left" w:pos="228" w:leader="none"/>
        </w:tabs>
        <w:jc w:val="left"/>
        <w:rPr>
          <w:b/>
          <w:bCs/>
        </w:rPr>
      </w:pPr>
      <w:r>
        <w:rPr>
          <w:b/>
          <w:bCs/>
        </w:rPr>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As indicated on the Agenda, tonight's discussion section was left open for any Parent Member to raise concerns they may have or topics they may wish to be addressed at future meetings etc:</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sz w:val="22"/>
          <w:szCs w:val="22"/>
        </w:rPr>
      </w:pPr>
      <w:r>
        <w:rPr>
          <w:b/>
          <w:bCs/>
          <w:i w:val="false"/>
          <w:iCs w:val="false"/>
          <w:sz w:val="22"/>
          <w:szCs w:val="22"/>
        </w:rPr>
        <w:t>10.1  Adoption and approval of the Parent Council and PTA Fundraising Committee financial accounts from the AGM:</w:t>
      </w:r>
    </w:p>
    <w:p>
      <w:pPr>
        <w:pStyle w:val="Normal"/>
        <w:tabs>
          <w:tab w:val="left" w:pos="228" w:leader="none"/>
        </w:tabs>
        <w:jc w:val="left"/>
        <w:rPr>
          <w:b/>
          <w:bCs/>
          <w:i w:val="false"/>
          <w:iCs w:val="false"/>
          <w:sz w:val="22"/>
          <w:szCs w:val="22"/>
        </w:rPr>
      </w:pPr>
      <w:r>
        <w:rPr>
          <w:b/>
          <w:bCs/>
          <w:i w:val="false"/>
          <w:iCs w:val="false"/>
          <w:sz w:val="22"/>
          <w:szCs w:val="22"/>
        </w:rPr>
        <w:tab/>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Parent Council Accounts: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Adopted and approved by      1. Ms D Wood  </w:t>
        <w:tab/>
        <w:tab/>
        <w:t xml:space="preserve">  2.  Ms Z McIntosh</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PTA Fundraising Accounts: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Adopted and approved by      1. Mrs D Pottinger  </w:t>
        <w:tab/>
        <w:t xml:space="preserve">  2.  Mrs J Miller</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sz w:val="22"/>
          <w:szCs w:val="22"/>
        </w:rPr>
      </w:pPr>
      <w:r>
        <w:rPr>
          <w:b/>
          <w:bCs/>
          <w:i w:val="false"/>
          <w:iCs w:val="false"/>
          <w:sz w:val="22"/>
          <w:szCs w:val="22"/>
        </w:rPr>
        <w:t>10.2  Mr G Mackay:</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With regard to the leaking oil situation Mr Mackay asked if the school had any concerns with the regularity of informed inspections regarding safety measures with various equipments within the school.   Mrs Flavell said that as far as she was aware all the appropriate regular checks had been carried out.</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sz w:val="22"/>
          <w:szCs w:val="22"/>
        </w:rPr>
      </w:pPr>
      <w:r>
        <w:rPr>
          <w:b/>
          <w:bCs/>
          <w:i w:val="false"/>
          <w:iCs w:val="false"/>
          <w:sz w:val="22"/>
          <w:szCs w:val="22"/>
        </w:rPr>
        <w:t>10.3  Mrs D Pottinger:</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Having seen a media news report on the issue of Vaping in Schools whereby some were in the process of purchasing appropriate alarms, Mrs Pottinger asked if THS was going down this route.   Mrs Flavell advised that there are 6 main toilets in the school and a huge effort has been made to have those areas thoroughly 'policed' at break times and have been conscious of a considerable decrease in vaping problems plus a Youth Action Team has been scheduled to speak to pupils to address the dangers of vaping.</w:t>
      </w:r>
    </w:p>
    <w:p>
      <w:pPr>
        <w:pStyle w:val="Normal"/>
        <w:tabs>
          <w:tab w:val="left" w:pos="228" w:leader="none"/>
        </w:tabs>
        <w:jc w:val="left"/>
        <w:rPr/>
      </w:pPr>
      <w:r>
        <w:rPr/>
      </w:r>
    </w:p>
    <w:p>
      <w:pPr>
        <w:pStyle w:val="Normal"/>
        <w:tabs>
          <w:tab w:val="left" w:pos="228" w:leader="none"/>
        </w:tabs>
        <w:jc w:val="center"/>
        <w:rPr>
          <w:b/>
          <w:bCs/>
          <w:i w:val="false"/>
          <w:iCs w:val="false"/>
          <w:sz w:val="22"/>
          <w:szCs w:val="22"/>
        </w:rPr>
      </w:pPr>
      <w:r>
        <w:rPr>
          <w:b/>
          <w:bCs/>
          <w:i w:val="false"/>
          <w:iCs w:val="false"/>
          <w:sz w:val="22"/>
          <w:szCs w:val="22"/>
        </w:rPr>
        <w:t>Meeting closed at 7.15 pm</w:t>
      </w:r>
    </w:p>
    <w:p>
      <w:pPr>
        <w:pStyle w:val="Normal"/>
        <w:tabs>
          <w:tab w:val="left" w:pos="228" w:leader="none"/>
        </w:tabs>
        <w:jc w:val="center"/>
        <w:rPr>
          <w:b/>
          <w:bCs/>
          <w:i/>
          <w:iCs/>
          <w:color w:val="00000A"/>
        </w:rPr>
      </w:pPr>
      <w:r>
        <w:rPr>
          <w:b/>
          <w:bCs/>
          <w:i/>
          <w:iCs/>
          <w:color w:val="00000A"/>
        </w:rPr>
      </w:r>
    </w:p>
    <w:p>
      <w:pPr>
        <w:pStyle w:val="Normal"/>
        <w:tabs>
          <w:tab w:val="left" w:pos="228" w:leader="none"/>
        </w:tabs>
        <w:jc w:val="left"/>
        <w:rPr>
          <w:b/>
          <w:bCs/>
          <w:i w:val="false"/>
          <w:iCs w:val="false"/>
          <w:sz w:val="22"/>
          <w:szCs w:val="22"/>
        </w:rPr>
      </w:pPr>
      <w:r>
        <w:rPr>
          <w:b/>
          <w:bCs/>
          <w:i w:val="false"/>
          <w:iCs w:val="false"/>
          <w:sz w:val="22"/>
          <w:szCs w:val="22"/>
        </w:rPr>
        <w:t>NOTES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Chairperson:  Mrs Beth McKenna</w:t>
        <w:tab/>
        <w:tab/>
        <w:tab/>
        <w:t>Clerk:  Mrs Moira Horne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e.mail: </w:t>
      </w:r>
      <w:hyperlink r:id="rId2">
        <w:r>
          <w:rPr>
            <w:rStyle w:val="InternetLink"/>
            <w:b w:val="false"/>
            <w:bCs w:val="false"/>
            <w:i w:val="false"/>
            <w:iCs w:val="false"/>
            <w:sz w:val="22"/>
            <w:szCs w:val="22"/>
          </w:rPr>
          <w:t>thurso.high@highlandpc.co.uk</w:t>
        </w:r>
      </w:hyperlink>
      <w:r>
        <w:rPr>
          <w:b w:val="false"/>
          <w:bCs w:val="false"/>
          <w:i w:val="false"/>
          <w:iCs w:val="false"/>
          <w:sz w:val="22"/>
          <w:szCs w:val="22"/>
        </w:rPr>
        <w:tab/>
        <w:tab/>
        <w:tab/>
        <w:t xml:space="preserve">e.mail: </w:t>
      </w:r>
      <w:hyperlink r:id="rId3">
        <w:r>
          <w:rPr>
            <w:rStyle w:val="InternetLink"/>
            <w:b w:val="false"/>
            <w:bCs w:val="false"/>
            <w:i w:val="false"/>
            <w:iCs w:val="false"/>
            <w:sz w:val="22"/>
            <w:szCs w:val="22"/>
          </w:rPr>
          <w:t>mhorne55@outlook.com</w:t>
        </w:r>
      </w:hyperlink>
      <w:r>
        <w:rPr>
          <w:b w:val="false"/>
          <w:bCs w:val="false"/>
          <w:i w:val="false"/>
          <w:iCs w:val="false"/>
          <w:sz w:val="22"/>
          <w:szCs w:val="22"/>
        </w:rPr>
        <w:t xml:space="preserve"> </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t>Meeting Dates:</w:t>
        <w:tab/>
        <w:t>14</w:t>
      </w:r>
      <w:r>
        <w:rPr>
          <w:vertAlign w:val="superscript"/>
        </w:rPr>
        <w:t>th</w:t>
      </w:r>
      <w:r>
        <w:rPr/>
        <w:t xml:space="preserve"> November 2023;  16</w:t>
      </w:r>
      <w:r>
        <w:rPr>
          <w:vertAlign w:val="superscript"/>
        </w:rPr>
        <w:t>th</w:t>
      </w:r>
      <w:r>
        <w:rPr/>
        <w:t xml:space="preserve"> January 2024;  12</w:t>
      </w:r>
      <w:r>
        <w:rPr>
          <w:vertAlign w:val="superscript"/>
        </w:rPr>
        <w:t>th</w:t>
      </w:r>
      <w:r>
        <w:rPr/>
        <w:t xml:space="preserve"> March 2024;</w:t>
      </w:r>
    </w:p>
    <w:p>
      <w:pPr>
        <w:pStyle w:val="Normal"/>
        <w:tabs>
          <w:tab w:val="left" w:pos="228" w:leader="none"/>
        </w:tabs>
        <w:jc w:val="left"/>
        <w:rPr/>
      </w:pPr>
      <w:r>
        <w:rPr/>
        <w:tab/>
        <w:tab/>
        <w:tab/>
        <w:tab/>
        <w:t>1</w:t>
      </w:r>
      <w:r>
        <w:rPr/>
        <w:t>4</w:t>
      </w:r>
      <w:r>
        <w:rPr>
          <w:vertAlign w:val="superscript"/>
        </w:rPr>
        <w:t>th</w:t>
      </w:r>
      <w:r>
        <w:rPr/>
        <w:t xml:space="preserve"> May 2024;  18</w:t>
      </w:r>
      <w:r>
        <w:rPr>
          <w:vertAlign w:val="superscript"/>
        </w:rPr>
        <w:t>th</w:t>
      </w:r>
      <w:r>
        <w:rPr/>
        <w:t xml:space="preserve"> June 2024;  AGM 3</w:t>
      </w:r>
      <w:r>
        <w:rPr>
          <w:vertAlign w:val="superscript"/>
        </w:rPr>
        <w:t>rd</w:t>
      </w:r>
      <w:r>
        <w:rPr/>
        <w:t xml:space="preserve"> September 2024</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color w:val="00000A"/>
        </w:rPr>
      </w:pPr>
      <w:r>
        <w:rPr>
          <w:b w:val="false"/>
          <w:bCs w:val="false"/>
          <w:i w:val="false"/>
          <w:iCs w:val="false"/>
          <w:color w:val="00000A"/>
        </w:rPr>
      </w:r>
    </w:p>
    <w:p>
      <w:pPr>
        <w:pStyle w:val="Normal"/>
        <w:tabs>
          <w:tab w:val="left" w:pos="228" w:leader="none"/>
        </w:tabs>
        <w:jc w:val="center"/>
        <w:rPr/>
      </w:pPr>
      <w:r>
        <w:rPr/>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804" w:footer="0" w:bottom="5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character" w:styleId="ListLabel43">
    <w:name w:val="ListLabel 43"/>
    <w:rPr>
      <w:rFonts w:cs="Symbol"/>
    </w:rPr>
  </w:style>
  <w:style w:type="character" w:styleId="ListLabel44">
    <w:name w:val="ListLabel 44"/>
    <w:rPr>
      <w:rFonts w:cs="OpenSymbol"/>
    </w:rPr>
  </w:style>
  <w:style w:type="character" w:styleId="ListLabel45">
    <w:name w:val="ListLabel 45"/>
    <w:rPr>
      <w:rFonts w:cs="Symbol"/>
    </w:rPr>
  </w:style>
  <w:style w:type="character" w:styleId="ListLabel46">
    <w:name w:val="ListLabel 46"/>
    <w:rPr>
      <w:rFonts w:cs="OpenSymbol"/>
    </w:rPr>
  </w:style>
  <w:style w:type="character" w:styleId="ListLabel47">
    <w:name w:val="ListLabel 47"/>
    <w:rPr>
      <w:rFonts w:cs="Symbol"/>
    </w:rPr>
  </w:style>
  <w:style w:type="character" w:styleId="ListLabel48">
    <w:name w:val="ListLabel 48"/>
    <w:rPr>
      <w:rFonts w:cs="OpenSymbol"/>
    </w:rPr>
  </w:style>
  <w:style w:type="character" w:styleId="ListLabel49">
    <w:name w:val="ListLabel 49"/>
    <w:rPr>
      <w:rFonts w:cs="Symbol"/>
    </w:rPr>
  </w:style>
  <w:style w:type="character" w:styleId="ListLabel50">
    <w:name w:val="ListLabel 50"/>
    <w:rPr>
      <w:rFonts w:cs="OpenSymbol"/>
    </w:rPr>
  </w:style>
  <w:style w:type="character" w:styleId="ListLabel51">
    <w:name w:val="ListLabel 51"/>
    <w:rPr>
      <w:rFonts w:cs="Symbol"/>
    </w:rPr>
  </w:style>
  <w:style w:type="character" w:styleId="ListLabel52">
    <w:name w:val="ListLabel 52"/>
    <w:rPr>
      <w:rFonts w:cs="OpenSymbol"/>
    </w:rPr>
  </w:style>
  <w:style w:type="character" w:styleId="ListLabel53">
    <w:name w:val="ListLabel 53"/>
    <w:rPr>
      <w:rFonts w:cs="Symbol"/>
    </w:rPr>
  </w:style>
  <w:style w:type="character" w:styleId="ListLabel54">
    <w:name w:val="ListLabel 54"/>
    <w:rPr>
      <w:rFonts w:cs="OpenSymbol"/>
    </w:rPr>
  </w:style>
  <w:style w:type="character" w:styleId="ListLabel55">
    <w:name w:val="ListLabel 55"/>
    <w:rPr>
      <w:rFonts w:cs="Symbol"/>
    </w:rPr>
  </w:style>
  <w:style w:type="character" w:styleId="ListLabel56">
    <w:name w:val="ListLabel 56"/>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Quotations">
    <w:name w:val="Quotations"/>
    <w:basedOn w:val="Normal"/>
    <w:pPr/>
    <w:rPr/>
  </w:style>
  <w:style w:type="paragraph" w:styleId="TableContents">
    <w:name w:val="Table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2023-09-18T16:15:05Z</cp:lastPrinted>
  <dcterms:modified xsi:type="dcterms:W3CDTF">2021-11-01T23:34:52Z</dcterms:modified>
  <cp:revision>1</cp:revision>
</cp:coreProperties>
</file>