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Attachment 1</w:t>
      </w:r>
    </w:p>
    <w:p>
      <w:pPr>
        <w:pStyle w:val="Normal"/>
        <w:jc w:val="center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Pupil Attainment Figures</w:t>
      </w:r>
    </w:p>
    <w:p>
      <w:pPr>
        <w:pStyle w:val="Normal"/>
        <w:jc w:val="center"/>
        <w:rPr>
          <w:b/>
          <w:bCs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 xml:space="preserve">S4 – </w:t>
      </w:r>
      <w:r>
        <w:rPr>
          <w:b/>
          <w:bCs/>
          <w:i w:val="false"/>
          <w:iCs w:val="false"/>
        </w:rPr>
        <w:t>61%</w:t>
      </w:r>
      <w:r>
        <w:rPr>
          <w:b w:val="false"/>
          <w:bCs w:val="false"/>
          <w:i w:val="false"/>
          <w:iCs w:val="false"/>
        </w:rPr>
        <w:t xml:space="preserve"> of pupils achieve 5 or more awards at Level 5 compared to </w:t>
      </w:r>
      <w:r>
        <w:rPr>
          <w:b/>
          <w:bCs/>
          <w:i w:val="false"/>
          <w:iCs w:val="false"/>
        </w:rPr>
        <w:t>54% Nationally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ab/>
      </w:r>
      <w:r>
        <w:rPr>
          <w:b w:val="false"/>
          <w:bCs w:val="false"/>
          <w:i w:val="false"/>
          <w:iCs w:val="false"/>
        </w:rPr>
        <w:t xml:space="preserve">S5 – </w:t>
      </w:r>
      <w:r>
        <w:rPr>
          <w:b/>
          <w:bCs/>
          <w:i w:val="false"/>
          <w:iCs w:val="false"/>
        </w:rPr>
        <w:t>60%</w:t>
      </w:r>
      <w:r>
        <w:rPr>
          <w:b w:val="false"/>
          <w:bCs w:val="false"/>
          <w:i w:val="false"/>
          <w:iCs w:val="false"/>
        </w:rPr>
        <w:t xml:space="preserve"> of pupils achieve 3 or more awards at Level 6 compared to </w:t>
      </w:r>
      <w:r>
        <w:rPr>
          <w:b/>
          <w:bCs/>
          <w:i w:val="false"/>
          <w:iCs w:val="false"/>
        </w:rPr>
        <w:t>52% Nationally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ab/>
      </w:r>
      <w:r>
        <w:rPr>
          <w:b w:val="false"/>
          <w:bCs w:val="false"/>
          <w:i w:val="false"/>
          <w:iCs w:val="false"/>
        </w:rPr>
        <w:t xml:space="preserve">S5 – </w:t>
      </w:r>
      <w:r>
        <w:rPr>
          <w:b/>
          <w:bCs/>
          <w:i w:val="false"/>
          <w:iCs w:val="false"/>
        </w:rPr>
        <w:t>23%</w:t>
      </w:r>
      <w:r>
        <w:rPr>
          <w:b w:val="false"/>
          <w:bCs w:val="false"/>
          <w:i w:val="false"/>
          <w:iCs w:val="false"/>
        </w:rPr>
        <w:t xml:space="preserve"> of pupils achieve 5 or more awards at Level 6 compared to </w:t>
      </w:r>
      <w:r>
        <w:rPr>
          <w:b/>
          <w:bCs/>
          <w:i w:val="false"/>
          <w:iCs w:val="false"/>
        </w:rPr>
        <w:t>27% Nationally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 xml:space="preserve">S6 – </w:t>
      </w:r>
      <w:r>
        <w:rPr>
          <w:b/>
          <w:bCs/>
          <w:i w:val="false"/>
          <w:iCs w:val="false"/>
        </w:rPr>
        <w:t>85%</w:t>
      </w:r>
      <w:r>
        <w:rPr>
          <w:b w:val="false"/>
          <w:bCs w:val="false"/>
          <w:i w:val="false"/>
          <w:iCs w:val="false"/>
        </w:rPr>
        <w:t xml:space="preserve"> of pupils achieve 5 or more awards at Level 6 compared to </w:t>
      </w:r>
      <w:r>
        <w:rPr>
          <w:b/>
          <w:bCs/>
          <w:i w:val="false"/>
          <w:iCs w:val="false"/>
        </w:rPr>
        <w:t>78% Nationally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ab/>
        <w:t xml:space="preserve">S6 – </w:t>
      </w:r>
      <w:r>
        <w:rPr>
          <w:b/>
          <w:bCs/>
          <w:i w:val="false"/>
          <w:iCs w:val="false"/>
        </w:rPr>
        <w:t>60%</w:t>
      </w:r>
      <w:r>
        <w:rPr>
          <w:b w:val="false"/>
          <w:bCs w:val="false"/>
          <w:i w:val="false"/>
          <w:iCs w:val="false"/>
        </w:rPr>
        <w:t xml:space="preserve"> of pupils achieve 5 or more awards at Level 6 compared to </w:t>
      </w:r>
      <w:r>
        <w:rPr>
          <w:b/>
          <w:bCs/>
          <w:i w:val="false"/>
          <w:iCs w:val="false"/>
        </w:rPr>
        <w:t>60% Nationally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Attainment for all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In S4 our lowest 20%, middle 60% and top 20% of attainers are doing well in comparison with both Highland and our Virtual Comparator.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In S5 there is a similar pattern, the top 20% lie very slightly behind the Virtual Comparator, but ahead of Highland.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In S6, the lowest 20% and middle 60% are doing well against comparators.   The highest 20% are not achieving quite as well in S6 – THS pupils do 4 subjects in S6 and some schools will be doing 5 subjects.    We do feel that our S6 pupils sometimes lose motivation across the year.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Subjects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 xml:space="preserve">Performance is good across the board, but certain subjects have excellent attainment - </w:t>
      </w:r>
      <w:r>
        <w:rPr>
          <w:b w:val="false"/>
          <w:bCs w:val="false"/>
          <w:i w:val="false"/>
          <w:iCs w:val="false"/>
        </w:rPr>
        <w:t>Social Subjects, Maths, English and Biology should be mentioned.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  <w:t>Literacy and Numeracy</w:t>
      </w:r>
    </w:p>
    <w:p>
      <w:pPr>
        <w:pStyle w:val="Normal"/>
        <w:jc w:val="left"/>
        <w:rPr>
          <w:b/>
          <w:bCs/>
          <w:i w:val="false"/>
          <w:iCs w:val="false"/>
        </w:rPr>
      </w:pPr>
      <w:r>
        <w:rPr>
          <w:b/>
          <w:bCs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Literacy is above or in line with the Virtual Comparator for all years and levels apart from Level 3 in S4 which is an area that the English Department are working on.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  <w:t>Numeracy attainment is good across all levels for S4, S5 and S6;  in many areas as much as 10% above the Virtual Comparator.</w:t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jc w:val="left"/>
        <w:rPr>
          <w:b w:val="false"/>
          <w:bCs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Arial"/>
        <w:sz w:val="24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322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2022-11-16T20:09:30Z</dcterms:created>
  <dc:language>en-GB</dc:language>
  <dcterms:modified xsi:type="dcterms:W3CDTF">2022-11-16T20:30:13Z</dcterms:modified>
  <cp:revision>1</cp:revision>
</cp:coreProperties>
</file>